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E0" w:rsidRPr="000E44C0" w:rsidRDefault="007924E0" w:rsidP="00802C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C7A">
        <w:rPr>
          <w:rFonts w:ascii="Times New Roman" w:hAnsi="Times New Roman" w:cs="Times New Roman"/>
          <w:b/>
          <w:bCs/>
          <w:sz w:val="24"/>
          <w:szCs w:val="24"/>
        </w:rPr>
        <w:t>ARSYET E KTHIMIT</w:t>
      </w:r>
    </w:p>
    <w:p w:rsidR="00B26C71" w:rsidRPr="000E44C0" w:rsidRDefault="00B26C71" w:rsidP="00802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59F" w:rsidRPr="000E44C0" w:rsidRDefault="00C674F4" w:rsidP="00802C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4C0">
        <w:rPr>
          <w:rFonts w:ascii="Times New Roman" w:hAnsi="Times New Roman" w:cs="Times New Roman"/>
          <w:b/>
          <w:bCs/>
          <w:sz w:val="24"/>
          <w:szCs w:val="24"/>
        </w:rPr>
        <w:t xml:space="preserve">TË LIGJIT NR. </w:t>
      </w:r>
      <w:r w:rsidRPr="000E44C0">
        <w:rPr>
          <w:rFonts w:ascii="Times New Roman" w:hAnsi="Times New Roman" w:cs="Times New Roman"/>
          <w:b/>
          <w:bCs/>
          <w:sz w:val="24"/>
          <w:szCs w:val="24"/>
          <w:lang w:val="en-US"/>
        </w:rPr>
        <w:t>111/2021 “PËR DISA SHTESA DHE NDRYSHIME NË LIGJIN NR. 92/2014 “PËR TATIMIN MBI VLERËN E SHTUAR NË REPUBLI</w:t>
      </w:r>
      <w:r w:rsidR="004F15FC" w:rsidRPr="000E44C0">
        <w:rPr>
          <w:rFonts w:ascii="Times New Roman" w:hAnsi="Times New Roman" w:cs="Times New Roman"/>
          <w:b/>
          <w:bCs/>
          <w:sz w:val="24"/>
          <w:szCs w:val="24"/>
          <w:lang w:val="en-US"/>
        </w:rPr>
        <w:t>KËN E SHQIPËRISË”, TË NDRYSHUAR</w:t>
      </w:r>
    </w:p>
    <w:p w:rsidR="00070AB6" w:rsidRPr="000E44C0" w:rsidRDefault="00070AB6" w:rsidP="00802C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4E0" w:rsidRPr="000E44C0" w:rsidRDefault="007924E0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b/>
          <w:bCs/>
          <w:sz w:val="24"/>
          <w:szCs w:val="24"/>
        </w:rPr>
        <w:t xml:space="preserve">Të nderuar deputetë, </w:t>
      </w:r>
    </w:p>
    <w:p w:rsidR="00070AB6" w:rsidRPr="000E44C0" w:rsidRDefault="00070AB6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4E0" w:rsidRPr="000E44C0" w:rsidRDefault="007924E0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>Kuvendi i Shqipërisë në sea</w:t>
      </w:r>
      <w:r w:rsidR="002F2047" w:rsidRPr="000E44C0">
        <w:rPr>
          <w:rFonts w:ascii="Times New Roman" w:hAnsi="Times New Roman" w:cs="Times New Roman"/>
          <w:sz w:val="24"/>
          <w:szCs w:val="24"/>
        </w:rPr>
        <w:t>ncën plenare të datës 25.11.2021</w:t>
      </w:r>
      <w:r w:rsidRPr="000E44C0">
        <w:rPr>
          <w:rFonts w:ascii="Times New Roman" w:hAnsi="Times New Roman" w:cs="Times New Roman"/>
          <w:sz w:val="24"/>
          <w:szCs w:val="24"/>
        </w:rPr>
        <w:t xml:space="preserve">, ka miratuar ligjin nr. </w:t>
      </w:r>
      <w:r w:rsidR="00A9759F" w:rsidRPr="000E44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111/2021 </w:t>
      </w:r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disa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shtesa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dhe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ndryshime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në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ligjin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. 92/2014 “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tatimin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mbi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vlerën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shtuar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në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Republikën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Shqipërisë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të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ndryshuar</w:t>
      </w:r>
      <w:proofErr w:type="spellEnd"/>
      <w:r w:rsidR="00A9759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70AB6" w:rsidRPr="000E44C0" w:rsidRDefault="00070AB6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4E0" w:rsidRPr="000E44C0" w:rsidRDefault="007924E0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 xml:space="preserve">Ky ligj me shkresën me nr. </w:t>
      </w:r>
      <w:r w:rsidR="00DC14D5" w:rsidRPr="000E44C0">
        <w:rPr>
          <w:rFonts w:ascii="Times New Roman" w:hAnsi="Times New Roman" w:cs="Times New Roman"/>
          <w:sz w:val="24"/>
          <w:szCs w:val="24"/>
        </w:rPr>
        <w:t>3098</w:t>
      </w:r>
      <w:r w:rsidRPr="000E44C0">
        <w:rPr>
          <w:rFonts w:ascii="Times New Roman" w:hAnsi="Times New Roman" w:cs="Times New Roman"/>
          <w:sz w:val="24"/>
          <w:szCs w:val="24"/>
        </w:rPr>
        <w:t xml:space="preserve"> prot., datë </w:t>
      </w:r>
      <w:r w:rsidR="00DC14D5" w:rsidRPr="000E44C0">
        <w:rPr>
          <w:rFonts w:ascii="Times New Roman" w:hAnsi="Times New Roman" w:cs="Times New Roman"/>
          <w:sz w:val="24"/>
          <w:szCs w:val="24"/>
        </w:rPr>
        <w:t>26.11</w:t>
      </w:r>
      <w:r w:rsidRPr="000E44C0">
        <w:rPr>
          <w:rFonts w:ascii="Times New Roman" w:hAnsi="Times New Roman" w:cs="Times New Roman"/>
          <w:sz w:val="24"/>
          <w:szCs w:val="24"/>
        </w:rPr>
        <w:t>.2021 të Kuvendit,</w:t>
      </w:r>
      <w:r w:rsidR="00A87E2E" w:rsidRPr="000E44C0">
        <w:rPr>
          <w:rFonts w:ascii="Times New Roman" w:hAnsi="Times New Roman" w:cs="Times New Roman"/>
          <w:sz w:val="24"/>
          <w:szCs w:val="24"/>
        </w:rPr>
        <w:t xml:space="preserve"> </w:t>
      </w:r>
      <w:r w:rsidRPr="000E44C0">
        <w:rPr>
          <w:rFonts w:ascii="Times New Roman" w:hAnsi="Times New Roman" w:cs="Times New Roman"/>
          <w:sz w:val="24"/>
          <w:szCs w:val="24"/>
        </w:rPr>
        <w:t xml:space="preserve">i është përcjellë Presidentit të Republikës për dekretim dhe shpallje. </w:t>
      </w:r>
    </w:p>
    <w:p w:rsidR="00070AB6" w:rsidRPr="000E44C0" w:rsidRDefault="00070AB6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061" w:rsidRPr="000E44C0" w:rsidRDefault="00C674F4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 xml:space="preserve">Ky ligj 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sht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miratuar si pjes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e paket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s fiskale, shoq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ruar edhe nga ligji nr. </w:t>
      </w:r>
      <w:r w:rsidR="006B012E" w:rsidRPr="000E44C0">
        <w:rPr>
          <w:rFonts w:ascii="Times New Roman" w:hAnsi="Times New Roman" w:cs="Times New Roman"/>
          <w:sz w:val="24"/>
          <w:szCs w:val="24"/>
        </w:rPr>
        <w:t xml:space="preserve">115/2021 “Për buxhetin e vitit 2022”. Ky i fundit 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="006B012E" w:rsidRPr="000E44C0">
        <w:rPr>
          <w:rFonts w:ascii="Times New Roman" w:hAnsi="Times New Roman" w:cs="Times New Roman"/>
          <w:sz w:val="24"/>
          <w:szCs w:val="24"/>
        </w:rPr>
        <w:t>sht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="006B012E" w:rsidRPr="000E44C0">
        <w:rPr>
          <w:rFonts w:ascii="Times New Roman" w:hAnsi="Times New Roman" w:cs="Times New Roman"/>
          <w:sz w:val="24"/>
          <w:szCs w:val="24"/>
        </w:rPr>
        <w:t xml:space="preserve"> kthyer nga Presidenti i Republik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="006B012E" w:rsidRPr="000E44C0">
        <w:rPr>
          <w:rFonts w:ascii="Times New Roman" w:hAnsi="Times New Roman" w:cs="Times New Roman"/>
          <w:sz w:val="24"/>
          <w:szCs w:val="24"/>
        </w:rPr>
        <w:t xml:space="preserve">s me Dekretin nr. </w:t>
      </w:r>
      <w:r w:rsidR="007E60E0" w:rsidRPr="000E44C0">
        <w:rPr>
          <w:rFonts w:ascii="Times New Roman" w:hAnsi="Times New Roman" w:cs="Times New Roman"/>
          <w:bCs/>
          <w:sz w:val="24"/>
          <w:szCs w:val="24"/>
        </w:rPr>
        <w:t xml:space="preserve">13369, datë 10.12.2021, </w:t>
      </w:r>
      <w:r w:rsidR="007E60E0" w:rsidRPr="000E44C0">
        <w:rPr>
          <w:rFonts w:ascii="Times New Roman" w:hAnsi="Times New Roman" w:cs="Times New Roman"/>
          <w:sz w:val="24"/>
          <w:szCs w:val="24"/>
        </w:rPr>
        <w:t>pasi</w:t>
      </w:r>
      <w:r w:rsidR="006F5B7B" w:rsidRPr="000E44C0">
        <w:rPr>
          <w:rFonts w:ascii="Times New Roman" w:hAnsi="Times New Roman" w:cs="Times New Roman"/>
          <w:sz w:val="24"/>
          <w:szCs w:val="24"/>
        </w:rPr>
        <w:t xml:space="preserve"> p</w:t>
      </w:r>
      <w:r w:rsidR="00B323F3" w:rsidRPr="000E44C0">
        <w:rPr>
          <w:rFonts w:ascii="Times New Roman" w:hAnsi="Times New Roman" w:cs="Times New Roman"/>
          <w:sz w:val="24"/>
          <w:szCs w:val="24"/>
        </w:rPr>
        <w:t>as shqyrtimit të dokumentacionit, raporteve të komisioneve parlamentare</w:t>
      </w:r>
      <w:r w:rsidR="00432F1C" w:rsidRPr="000E44C0">
        <w:rPr>
          <w:rFonts w:ascii="Times New Roman" w:hAnsi="Times New Roman" w:cs="Times New Roman"/>
          <w:sz w:val="24"/>
          <w:szCs w:val="24"/>
        </w:rPr>
        <w:t>,</w:t>
      </w:r>
      <w:r w:rsidR="00B323F3" w:rsidRPr="000E44C0">
        <w:rPr>
          <w:rFonts w:ascii="Times New Roman" w:hAnsi="Times New Roman" w:cs="Times New Roman"/>
          <w:sz w:val="24"/>
          <w:szCs w:val="24"/>
        </w:rPr>
        <w:t xml:space="preserve"> si </w:t>
      </w:r>
      <w:r w:rsidR="000C3557" w:rsidRPr="000E44C0">
        <w:rPr>
          <w:rFonts w:ascii="Times New Roman" w:hAnsi="Times New Roman" w:cs="Times New Roman"/>
          <w:sz w:val="24"/>
          <w:szCs w:val="24"/>
        </w:rPr>
        <w:t>dhe vlerësimit</w:t>
      </w:r>
      <w:r w:rsidR="00B323F3" w:rsidRPr="000E44C0">
        <w:rPr>
          <w:rFonts w:ascii="Times New Roman" w:hAnsi="Times New Roman" w:cs="Times New Roman"/>
          <w:sz w:val="24"/>
          <w:szCs w:val="24"/>
        </w:rPr>
        <w:t xml:space="preserve"> të</w:t>
      </w:r>
      <w:r w:rsidR="007924E0" w:rsidRPr="000E44C0">
        <w:rPr>
          <w:rFonts w:ascii="Times New Roman" w:hAnsi="Times New Roman" w:cs="Times New Roman"/>
          <w:sz w:val="24"/>
          <w:szCs w:val="24"/>
        </w:rPr>
        <w:t xml:space="preserve"> parashikimeve ekonomike të fo</w:t>
      </w:r>
      <w:r w:rsidR="00311A7E" w:rsidRPr="000E44C0">
        <w:rPr>
          <w:rFonts w:ascii="Times New Roman" w:hAnsi="Times New Roman" w:cs="Times New Roman"/>
          <w:sz w:val="24"/>
          <w:szCs w:val="24"/>
        </w:rPr>
        <w:t>rmalizuara përmes ligjit nr. 115/2021 “Për buxhetin e vitit 2022</w:t>
      </w:r>
      <w:r w:rsidR="007924E0" w:rsidRPr="000E44C0">
        <w:rPr>
          <w:rFonts w:ascii="Times New Roman" w:hAnsi="Times New Roman" w:cs="Times New Roman"/>
          <w:sz w:val="24"/>
          <w:szCs w:val="24"/>
        </w:rPr>
        <w:t xml:space="preserve">”, </w:t>
      </w:r>
      <w:r w:rsidR="00432F1C" w:rsidRPr="000E44C0">
        <w:rPr>
          <w:rFonts w:ascii="Times New Roman" w:hAnsi="Times New Roman" w:cs="Times New Roman"/>
          <w:sz w:val="24"/>
          <w:szCs w:val="24"/>
        </w:rPr>
        <w:t>dhe paketës fiskale që e shoqëron</w:t>
      </w:r>
      <w:r w:rsidR="007E60E0" w:rsidRPr="000E44C0">
        <w:rPr>
          <w:rFonts w:ascii="Times New Roman" w:hAnsi="Times New Roman" w:cs="Times New Roman"/>
          <w:sz w:val="24"/>
          <w:szCs w:val="24"/>
        </w:rPr>
        <w:t>te</w:t>
      </w:r>
      <w:r w:rsidR="00432F1C" w:rsidRPr="000E44C0">
        <w:rPr>
          <w:rFonts w:ascii="Times New Roman" w:hAnsi="Times New Roman" w:cs="Times New Roman"/>
          <w:sz w:val="24"/>
          <w:szCs w:val="24"/>
        </w:rPr>
        <w:t xml:space="preserve"> atë, </w:t>
      </w:r>
      <w:r w:rsidR="007E60E0" w:rsidRPr="000E44C0">
        <w:rPr>
          <w:rFonts w:ascii="Times New Roman" w:hAnsi="Times New Roman" w:cs="Times New Roman"/>
          <w:sz w:val="24"/>
          <w:szCs w:val="24"/>
        </w:rPr>
        <w:t>ky buxhet,</w:t>
      </w:r>
    </w:p>
    <w:p w:rsidR="005F0061" w:rsidRPr="000E44C0" w:rsidRDefault="005F0061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812" w:rsidRPr="000E44C0" w:rsidRDefault="007E60E0" w:rsidP="00802C7A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>në tërësinë e tij kishte</w:t>
      </w:r>
      <w:r w:rsidR="00432F1C" w:rsidRPr="000E44C0">
        <w:rPr>
          <w:rFonts w:ascii="Times New Roman" w:hAnsi="Times New Roman" w:cs="Times New Roman"/>
          <w:sz w:val="24"/>
          <w:szCs w:val="24"/>
        </w:rPr>
        <w:t xml:space="preserve"> një plan financiar antisocial:</w:t>
      </w:r>
    </w:p>
    <w:p w:rsidR="00432F1C" w:rsidRPr="000E44C0" w:rsidRDefault="007E60E0" w:rsidP="00802C7A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>paraqiste problematika</w:t>
      </w:r>
      <w:r w:rsidR="00432F1C" w:rsidRPr="000E44C0">
        <w:rPr>
          <w:rFonts w:ascii="Times New Roman" w:hAnsi="Times New Roman" w:cs="Times New Roman"/>
          <w:sz w:val="24"/>
          <w:szCs w:val="24"/>
        </w:rPr>
        <w:t xml:space="preserve"> shqetësuese të transparencës në lidhje me shpenzimet dhe politikat fiskale;</w:t>
      </w:r>
    </w:p>
    <w:p w:rsidR="00432F1C" w:rsidRPr="000E44C0" w:rsidRDefault="007E60E0" w:rsidP="00802C7A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 xml:space="preserve">paraqiste problematika </w:t>
      </w:r>
      <w:r w:rsidR="00432F1C" w:rsidRPr="000E44C0">
        <w:rPr>
          <w:rFonts w:ascii="Times New Roman" w:hAnsi="Times New Roman" w:cs="Times New Roman"/>
          <w:sz w:val="24"/>
          <w:szCs w:val="24"/>
        </w:rPr>
        <w:t>shumë shqetësuese në lidhje me nivelin e borxhit publik,  përdorimit dhe efektit ekonomik të tij;</w:t>
      </w:r>
      <w:r w:rsidRPr="000E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1C" w:rsidRPr="000E44C0" w:rsidRDefault="007E60E0" w:rsidP="00802C7A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>mungonte</w:t>
      </w:r>
      <w:r w:rsidR="00432F1C" w:rsidRPr="000E44C0">
        <w:rPr>
          <w:rFonts w:ascii="Times New Roman" w:hAnsi="Times New Roman" w:cs="Times New Roman"/>
          <w:sz w:val="24"/>
          <w:szCs w:val="24"/>
        </w:rPr>
        <w:t xml:space="preserve"> mbështetja </w:t>
      </w:r>
      <w:r w:rsidR="00E5729D" w:rsidRPr="000E44C0">
        <w:rPr>
          <w:rFonts w:ascii="Times New Roman" w:hAnsi="Times New Roman" w:cs="Times New Roman"/>
          <w:sz w:val="24"/>
          <w:szCs w:val="24"/>
        </w:rPr>
        <w:t xml:space="preserve">reale </w:t>
      </w:r>
      <w:r w:rsidR="00432F1C" w:rsidRPr="000E44C0">
        <w:rPr>
          <w:rFonts w:ascii="Times New Roman" w:hAnsi="Times New Roman" w:cs="Times New Roman"/>
          <w:sz w:val="24"/>
          <w:szCs w:val="24"/>
        </w:rPr>
        <w:t>për sektor</w:t>
      </w:r>
      <w:r w:rsidR="00497812" w:rsidRPr="000E44C0">
        <w:rPr>
          <w:rFonts w:ascii="Times New Roman" w:hAnsi="Times New Roman" w:cs="Times New Roman"/>
          <w:sz w:val="24"/>
          <w:szCs w:val="24"/>
        </w:rPr>
        <w:t>ë</w:t>
      </w:r>
      <w:r w:rsidR="00E5729D" w:rsidRPr="000E44C0">
        <w:rPr>
          <w:rFonts w:ascii="Times New Roman" w:hAnsi="Times New Roman" w:cs="Times New Roman"/>
          <w:sz w:val="24"/>
          <w:szCs w:val="24"/>
        </w:rPr>
        <w:t>t</w:t>
      </w:r>
      <w:r w:rsidR="00432F1C" w:rsidRPr="000E44C0">
        <w:rPr>
          <w:rFonts w:ascii="Times New Roman" w:hAnsi="Times New Roman" w:cs="Times New Roman"/>
          <w:sz w:val="24"/>
          <w:szCs w:val="24"/>
        </w:rPr>
        <w:t xml:space="preserve"> </w:t>
      </w:r>
      <w:r w:rsidR="00E5729D" w:rsidRPr="000E44C0">
        <w:rPr>
          <w:rFonts w:ascii="Times New Roman" w:hAnsi="Times New Roman" w:cs="Times New Roman"/>
          <w:sz w:val="24"/>
          <w:szCs w:val="24"/>
        </w:rPr>
        <w:t>e ekonomis</w:t>
      </w:r>
      <w:r w:rsidR="00497812" w:rsidRPr="000E44C0">
        <w:rPr>
          <w:rFonts w:ascii="Times New Roman" w:hAnsi="Times New Roman" w:cs="Times New Roman"/>
          <w:sz w:val="24"/>
          <w:szCs w:val="24"/>
        </w:rPr>
        <w:t>ë</w:t>
      </w:r>
      <w:r w:rsidR="00432F1C" w:rsidRPr="000E44C0">
        <w:rPr>
          <w:rFonts w:ascii="Times New Roman" w:hAnsi="Times New Roman" w:cs="Times New Roman"/>
          <w:sz w:val="24"/>
          <w:szCs w:val="24"/>
        </w:rPr>
        <w:t xml:space="preserve"> dhe në </w:t>
      </w:r>
      <w:r w:rsidR="00497812" w:rsidRPr="000E44C0">
        <w:rPr>
          <w:rFonts w:ascii="Times New Roman" w:hAnsi="Times New Roman" w:cs="Times New Roman"/>
          <w:sz w:val="24"/>
          <w:szCs w:val="24"/>
        </w:rPr>
        <w:t>mënyrë të veçantë për bujqësinë;</w:t>
      </w:r>
    </w:p>
    <w:p w:rsidR="00497812" w:rsidRPr="000E44C0" w:rsidRDefault="007E60E0" w:rsidP="00802C7A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>m</w:t>
      </w:r>
      <w:r w:rsidR="00497812" w:rsidRPr="000E44C0">
        <w:rPr>
          <w:rFonts w:ascii="Times New Roman" w:hAnsi="Times New Roman" w:cs="Times New Roman"/>
          <w:sz w:val="24"/>
          <w:szCs w:val="24"/>
        </w:rPr>
        <w:t>ungon</w:t>
      </w:r>
      <w:r w:rsidRPr="000E44C0">
        <w:rPr>
          <w:rFonts w:ascii="Times New Roman" w:hAnsi="Times New Roman" w:cs="Times New Roman"/>
          <w:sz w:val="24"/>
          <w:szCs w:val="24"/>
        </w:rPr>
        <w:t>te</w:t>
      </w:r>
      <w:r w:rsidR="00497812" w:rsidRPr="000E44C0">
        <w:rPr>
          <w:rFonts w:ascii="Times New Roman" w:hAnsi="Times New Roman" w:cs="Times New Roman"/>
          <w:sz w:val="24"/>
          <w:szCs w:val="24"/>
        </w:rPr>
        <w:t xml:space="preserve"> mbështetja e nevojshme buxhetore për shtresat në nevojë për kurimin ndaj infeksionit Covid-19, të cilët trajtohen në shtëpi dhe jashtë sistemit spitalor. </w:t>
      </w:r>
    </w:p>
    <w:p w:rsidR="007E60E0" w:rsidRPr="000E44C0" w:rsidRDefault="007E60E0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0E0" w:rsidRPr="000E44C0" w:rsidRDefault="007E60E0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>Arsyet e detajuara 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kthimit 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k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tij ligji, p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rveçse i jan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komunikuar Kuvendit, gjenden 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publikuara edhe n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link-un:</w:t>
      </w:r>
      <w:r w:rsidR="005E524C" w:rsidRPr="000E44C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524C" w:rsidRPr="000E44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https://president.al/presidenti-meta-dekreton-kthimin-per-rishqyrtim-ne-kuvend-te-ligjit-nr-115-2021-arsyet-e-kthimit-per-rishqyrtim-te-ligjit/</w:t>
        </w:r>
      </w:hyperlink>
      <w:r w:rsidR="005E524C" w:rsidRPr="000E4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0E0" w:rsidRPr="000E44C0" w:rsidRDefault="007E60E0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0A9" w:rsidRPr="000E44C0" w:rsidRDefault="003E0DF2" w:rsidP="00802C7A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4C0">
        <w:rPr>
          <w:rFonts w:ascii="Times New Roman" w:hAnsi="Times New Roman" w:cs="Times New Roman"/>
          <w:sz w:val="24"/>
          <w:szCs w:val="24"/>
        </w:rPr>
        <w:t>Nd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rkoh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q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, si ligji p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 Buxhetin 2022, dhe paketa fiskale q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e shoq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ron, veçan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risht ndryshimet n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ligjin p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 tatimin mbi vler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n e shtuar, nuk mund 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shihen t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pandar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, pik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risht p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>r impaktin q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kan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n</w:t>
      </w:r>
      <w:r w:rsidR="00081900" w:rsidRPr="000E44C0">
        <w:rPr>
          <w:rFonts w:ascii="Times New Roman" w:hAnsi="Times New Roman" w:cs="Times New Roman"/>
          <w:sz w:val="24"/>
          <w:szCs w:val="24"/>
        </w:rPr>
        <w:t>ë</w:t>
      </w:r>
      <w:r w:rsidRPr="000E44C0">
        <w:rPr>
          <w:rFonts w:ascii="Times New Roman" w:hAnsi="Times New Roman" w:cs="Times New Roman"/>
          <w:sz w:val="24"/>
          <w:szCs w:val="24"/>
        </w:rPr>
        <w:t xml:space="preserve"> </w:t>
      </w:r>
      <w:r w:rsidR="00024934" w:rsidRPr="000E44C0">
        <w:rPr>
          <w:rFonts w:ascii="Times New Roman" w:hAnsi="Times New Roman" w:cs="Times New Roman"/>
          <w:sz w:val="24"/>
          <w:szCs w:val="24"/>
        </w:rPr>
        <w:t>financat publike dhe q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 xml:space="preserve"> k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>rkon nj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 xml:space="preserve"> qasje sipas nj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 xml:space="preserve"> politike t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 xml:space="preserve"> konsoliduar n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 xml:space="preserve"> terma afatmes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>m dhe afatgjat</w:t>
      </w:r>
      <w:r w:rsidR="0051087B" w:rsidRPr="000E44C0">
        <w:rPr>
          <w:rFonts w:ascii="Times New Roman" w:hAnsi="Times New Roman" w:cs="Times New Roman"/>
          <w:sz w:val="24"/>
          <w:szCs w:val="24"/>
        </w:rPr>
        <w:t>ë</w:t>
      </w:r>
      <w:r w:rsidR="00024934" w:rsidRPr="000E4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007" w:rsidRPr="000E44C0" w:rsidRDefault="00906007" w:rsidP="00802C7A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007" w:rsidRPr="000E44C0" w:rsidRDefault="00906007" w:rsidP="00802C7A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44C0">
        <w:rPr>
          <w:rFonts w:ascii="Times New Roman" w:hAnsi="Times New Roman" w:cs="Times New Roman"/>
          <w:sz w:val="24"/>
          <w:szCs w:val="24"/>
        </w:rPr>
        <w:t>Ndryshimet e miratuar</w:t>
      </w:r>
      <w:r w:rsidR="002F2047" w:rsidRPr="000E44C0">
        <w:rPr>
          <w:rFonts w:ascii="Times New Roman" w:hAnsi="Times New Roman" w:cs="Times New Roman"/>
          <w:sz w:val="24"/>
          <w:szCs w:val="24"/>
        </w:rPr>
        <w:t>a</w:t>
      </w:r>
      <w:r w:rsidRPr="000E44C0">
        <w:rPr>
          <w:rFonts w:ascii="Times New Roman" w:hAnsi="Times New Roman" w:cs="Times New Roman"/>
          <w:sz w:val="24"/>
          <w:szCs w:val="24"/>
        </w:rPr>
        <w:t xml:space="preserve"> </w:t>
      </w:r>
      <w:r w:rsidR="002F2047" w:rsidRPr="000E44C0">
        <w:rPr>
          <w:rFonts w:ascii="Times New Roman" w:hAnsi="Times New Roman" w:cs="Times New Roman"/>
          <w:sz w:val="24"/>
          <w:szCs w:val="24"/>
        </w:rPr>
        <w:t>p</w:t>
      </w:r>
      <w:r w:rsidR="00C17DC1" w:rsidRPr="000E44C0">
        <w:rPr>
          <w:rFonts w:ascii="Times New Roman" w:hAnsi="Times New Roman" w:cs="Times New Roman"/>
          <w:sz w:val="24"/>
          <w:szCs w:val="24"/>
        </w:rPr>
        <w:t>ë</w:t>
      </w:r>
      <w:r w:rsidR="002F2047" w:rsidRPr="000E44C0">
        <w:rPr>
          <w:rFonts w:ascii="Times New Roman" w:hAnsi="Times New Roman" w:cs="Times New Roman"/>
          <w:sz w:val="24"/>
          <w:szCs w:val="24"/>
        </w:rPr>
        <w:t>rmes li</w:t>
      </w:r>
      <w:r w:rsidRPr="000E44C0">
        <w:rPr>
          <w:rFonts w:ascii="Times New Roman" w:hAnsi="Times New Roman" w:cs="Times New Roman"/>
          <w:sz w:val="24"/>
          <w:szCs w:val="24"/>
        </w:rPr>
        <w:t xml:space="preserve">gjit nr. </w:t>
      </w:r>
      <w:r w:rsidRPr="000E44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111/2021 </w:t>
      </w:r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disa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shtesa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dhe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ndryshime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në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ligjin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. 92/2014 “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tatimin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mbi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vlerën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shtuar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në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Republikën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Shqipërisë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të</w:t>
      </w:r>
      <w:proofErr w:type="spellEnd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ndryshuar</w:t>
      </w:r>
      <w:proofErr w:type="spellEnd"/>
      <w:r w:rsidR="00540C80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deklarohet</w:t>
      </w:r>
      <w:proofErr w:type="spellEnd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081900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proofErr w:type="spellEnd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relacionin</w:t>
      </w:r>
      <w:proofErr w:type="spellEnd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shpjegues</w:t>
      </w:r>
      <w:proofErr w:type="spellEnd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081900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proofErr w:type="spellEnd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nism</w:t>
      </w:r>
      <w:r w:rsidR="00081900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End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 </w:t>
      </w:r>
      <w:proofErr w:type="spellStart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synojn</w:t>
      </w:r>
      <w:r w:rsidR="00081900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proofErr w:type="spellEnd"/>
      <w:r w:rsidR="00457D2F" w:rsidRPr="000E44C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457D2F" w:rsidRPr="000E44C0" w:rsidRDefault="00457D2F" w:rsidP="000E44C0">
      <w:pPr>
        <w:pStyle w:val="ListParagraph"/>
        <w:numPr>
          <w:ilvl w:val="0"/>
          <w:numId w:val="42"/>
        </w:numPr>
        <w:tabs>
          <w:tab w:val="left" w:pos="270"/>
        </w:tabs>
        <w:spacing w:after="0" w:line="276" w:lineRule="auto"/>
        <w:ind w:left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4C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trajtimin me shkallë të reduktuar të TVSH-së prej 10 për qind të furnizimit të inputeve bujqësore, siç janë: plehrat kimike, pesticidet, farat dhe fidanët, 2 përveç hormoneve të klasifikuara në kodet 2937 të Nomenklaturës së Kombinuar të Mallrave; </w:t>
      </w:r>
    </w:p>
    <w:p w:rsidR="00457D2F" w:rsidRPr="000E44C0" w:rsidRDefault="00457D2F" w:rsidP="000E44C0">
      <w:pPr>
        <w:pStyle w:val="ListParagraph"/>
        <w:numPr>
          <w:ilvl w:val="0"/>
          <w:numId w:val="42"/>
        </w:numPr>
        <w:tabs>
          <w:tab w:val="left" w:pos="270"/>
        </w:tabs>
        <w:spacing w:after="0" w:line="276" w:lineRule="auto"/>
        <w:ind w:left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4C0">
        <w:rPr>
          <w:rFonts w:ascii="Times New Roman" w:hAnsi="Times New Roman" w:cs="Times New Roman"/>
          <w:i/>
          <w:sz w:val="24"/>
          <w:szCs w:val="24"/>
        </w:rPr>
        <w:t xml:space="preserve">përjashtimin nga TVSH-ja për importimin e makinerive dhe të pajisjeve në funksion të realizimit të kontratave të investimeve me vlerë të barabartë ose më të madhe se 500 milionë lekë; </w:t>
      </w:r>
    </w:p>
    <w:p w:rsidR="003E0DF2" w:rsidRPr="000E44C0" w:rsidRDefault="00457D2F" w:rsidP="000E44C0">
      <w:pPr>
        <w:pStyle w:val="ListParagraph"/>
        <w:numPr>
          <w:ilvl w:val="0"/>
          <w:numId w:val="42"/>
        </w:numPr>
        <w:tabs>
          <w:tab w:val="left" w:pos="270"/>
        </w:tabs>
        <w:spacing w:after="0" w:line="276" w:lineRule="auto"/>
        <w:ind w:left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4C0">
        <w:rPr>
          <w:rFonts w:ascii="Times New Roman" w:hAnsi="Times New Roman" w:cs="Times New Roman"/>
          <w:i/>
          <w:sz w:val="24"/>
          <w:szCs w:val="24"/>
        </w:rPr>
        <w:t>zëvendësimin e normës së kompensimit të prodhuesit bujqësor prej 6 për qind në 0 për qind.</w:t>
      </w:r>
    </w:p>
    <w:p w:rsidR="003E0DF2" w:rsidRPr="000E44C0" w:rsidRDefault="003E0DF2" w:rsidP="00802C7A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939" w:rsidRPr="000E44C0" w:rsidRDefault="008B6939" w:rsidP="00802C7A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44C0">
        <w:rPr>
          <w:rFonts w:ascii="Times New Roman" w:eastAsia="Calibri" w:hAnsi="Times New Roman" w:cs="Times New Roman"/>
          <w:bCs/>
          <w:sz w:val="24"/>
          <w:szCs w:val="24"/>
        </w:rPr>
        <w:t>Konkretisht:</w:t>
      </w:r>
    </w:p>
    <w:p w:rsidR="005F0061" w:rsidRPr="000E44C0" w:rsidRDefault="005F0061" w:rsidP="00802C7A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939" w:rsidRPr="000E44C0" w:rsidRDefault="00C040A9" w:rsidP="00802C7A">
      <w:pPr>
        <w:pStyle w:val="ListParagraph"/>
        <w:numPr>
          <w:ilvl w:val="0"/>
          <w:numId w:val="36"/>
        </w:num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4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Për sektorin e bujqësisë 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është hequr kompensimi për prodhuesit bujqësor</w:t>
      </w:r>
      <w:r w:rsidR="00C17DC1"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BD479B" w:rsidRPr="000E44C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si</w:t>
      </w:r>
      <w:r w:rsidR="00BD479B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dhe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është vendosur shkalla e reduktuar prej 10 për qind</w:t>
      </w:r>
      <w:r w:rsidR="00BD479B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(%)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të furnizimit me inputet bujqësore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040A9" w:rsidRPr="000E44C0" w:rsidRDefault="00081900" w:rsidP="00802C7A">
      <w:pPr>
        <w:pStyle w:val="ListParagraph"/>
        <w:numPr>
          <w:ilvl w:val="0"/>
          <w:numId w:val="36"/>
        </w:num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C040A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shtë </w:t>
      </w:r>
      <w:r w:rsidR="002F2047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ndryshuar </w:t>
      </w:r>
      <w:r w:rsidR="00C040A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niveli i përjashtimin nga TVSH-ja për importimin e makinerive dhe pajisjeve në funksion të realizimit të kontratave të investimeve me vlerë të barabartë 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>ose m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madhe se </w:t>
      </w:r>
      <w:r w:rsidR="00C040A9" w:rsidRPr="000E44C0">
        <w:rPr>
          <w:rFonts w:ascii="Times New Roman" w:eastAsia="Calibri" w:hAnsi="Times New Roman" w:cs="Times New Roman"/>
          <w:b/>
          <w:sz w:val="24"/>
          <w:szCs w:val="24"/>
        </w:rPr>
        <w:t>500 milionë lekë</w:t>
      </w:r>
      <w:r w:rsidR="00B9264E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9264E" w:rsidRPr="000E44C0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>rkoh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q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ligji n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fuqi p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>rcaktonte si marzh vler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B6939" w:rsidRPr="000E44C0">
        <w:rPr>
          <w:rFonts w:ascii="Times New Roman" w:eastAsia="Calibri" w:hAnsi="Times New Roman" w:cs="Times New Roman"/>
          <w:b/>
          <w:sz w:val="24"/>
          <w:szCs w:val="24"/>
        </w:rPr>
        <w:t>n 50 milion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B07CAA" w:rsidRPr="000E44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0B4A" w:rsidRPr="000E44C0" w:rsidRDefault="00A10B4A" w:rsidP="00802C7A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061" w:rsidRPr="000E44C0" w:rsidRDefault="00A10B4A" w:rsidP="00802C7A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44C0">
        <w:rPr>
          <w:rFonts w:ascii="Times New Roman" w:eastAsia="Calibri" w:hAnsi="Times New Roman" w:cs="Times New Roman"/>
          <w:sz w:val="24"/>
          <w:szCs w:val="24"/>
        </w:rPr>
        <w:t>Me ndryshimet e propozuara n</w:t>
      </w:r>
      <w:r w:rsidR="00081900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081900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>t</w:t>
      </w:r>
      <w:r w:rsidR="00081900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ligj, 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me heqjen apo diferencimin e përjashtimeve të normave të TVSH-së, 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është shkelur </w:t>
      </w:r>
      <w:r w:rsidRPr="000E44C0">
        <w:rPr>
          <w:rFonts w:ascii="Times New Roman" w:eastAsia="Calibri" w:hAnsi="Times New Roman" w:cs="Times New Roman"/>
          <w:b/>
          <w:bCs/>
          <w:sz w:val="24"/>
          <w:szCs w:val="24"/>
        </w:rPr>
        <w:t>parimi i barazisë së barrës fiskale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 ndërmjet sektorëve të ekonomisë, sepse është parë me proritet heqja e përjashtimeve për sektorin e bujqësisë dhe të investimeve kundrejt lënies së përjashtimeve për sektor</w:t>
      </w:r>
      <w:r w:rsidR="00081900" w:rsidRPr="000E44C0">
        <w:rPr>
          <w:rFonts w:ascii="Times New Roman" w:eastAsia="Calibri" w:hAnsi="Times New Roman" w:cs="Times New Roman"/>
          <w:bCs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 t</w:t>
      </w:r>
      <w:r w:rsidR="00081900" w:rsidRPr="000E44C0">
        <w:rPr>
          <w:rFonts w:ascii="Times New Roman" w:eastAsia="Calibri" w:hAnsi="Times New Roman" w:cs="Times New Roman"/>
          <w:bCs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 tjer</w:t>
      </w:r>
      <w:r w:rsidR="00081900" w:rsidRPr="000E44C0">
        <w:rPr>
          <w:rFonts w:ascii="Times New Roman" w:eastAsia="Calibri" w:hAnsi="Times New Roman" w:cs="Times New Roman"/>
          <w:bCs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F0061" w:rsidRPr="000E44C0" w:rsidRDefault="005F0061" w:rsidP="00802C7A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264E" w:rsidRPr="000E44C0" w:rsidRDefault="00A10B4A" w:rsidP="00802C7A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4C0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081900" w:rsidRPr="000E44C0">
        <w:rPr>
          <w:rFonts w:ascii="Times New Roman" w:eastAsia="Calibri" w:hAnsi="Times New Roman" w:cs="Times New Roman"/>
          <w:bCs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>r ilustrim, p</w:t>
      </w:r>
      <w:r w:rsidR="00081900" w:rsidRPr="000E44C0">
        <w:rPr>
          <w:rFonts w:ascii="Times New Roman" w:eastAsia="Calibri" w:hAnsi="Times New Roman" w:cs="Times New Roman"/>
          <w:bCs/>
          <w:sz w:val="24"/>
          <w:szCs w:val="24"/>
        </w:rPr>
        <w:t>ë</w:t>
      </w:r>
      <w:r w:rsidR="00B9264E" w:rsidRPr="000E44C0">
        <w:rPr>
          <w:rFonts w:ascii="Times New Roman" w:eastAsia="Calibri" w:hAnsi="Times New Roman" w:cs="Times New Roman"/>
          <w:bCs/>
          <w:sz w:val="24"/>
          <w:szCs w:val="24"/>
        </w:rPr>
        <w:t>r subjktet q</w:t>
      </w:r>
      <w:r w:rsidR="00C17DC1" w:rsidRPr="000E44C0">
        <w:rPr>
          <w:rFonts w:ascii="Times New Roman" w:eastAsia="Calibri" w:hAnsi="Times New Roman" w:cs="Times New Roman"/>
          <w:bCs/>
          <w:sz w:val="24"/>
          <w:szCs w:val="24"/>
        </w:rPr>
        <w:t>ë</w:t>
      </w:r>
      <w:r w:rsidR="00B9264E"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 operojnë në fushën e 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>turizmi</w:t>
      </w:r>
      <w:r w:rsidR="002F2047" w:rsidRPr="000E44C0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 argëtues, sportet</w:t>
      </w:r>
      <w:r w:rsidR="00B9264E"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 ujore</w:t>
      </w:r>
      <w:r w:rsidRPr="000E44C0">
        <w:rPr>
          <w:rFonts w:ascii="Times New Roman" w:eastAsia="Calibri" w:hAnsi="Times New Roman" w:cs="Times New Roman"/>
          <w:bCs/>
          <w:sz w:val="24"/>
          <w:szCs w:val="24"/>
        </w:rPr>
        <w:t xml:space="preserve"> etj., </w:t>
      </w:r>
      <w:r w:rsidR="00C040A9" w:rsidRPr="000E44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nuk </w:t>
      </w:r>
      <w:r w:rsidR="00B9264E" w:rsidRPr="000E44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 w:rsidR="00C040A9" w:rsidRPr="000E44C0">
        <w:rPr>
          <w:rFonts w:ascii="Times New Roman" w:eastAsia="Calibri" w:hAnsi="Times New Roman" w:cs="Times New Roman"/>
          <w:b/>
          <w:sz w:val="24"/>
          <w:szCs w:val="24"/>
          <w:u w:val="single"/>
        </w:rPr>
        <w:t>është hequr përjashtimi nga TVSH</w:t>
      </w:r>
      <w:r w:rsidR="00C040A9" w:rsidRPr="000E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A9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për mjetet lundruese për qëllime turistike dhe argëtim, apo heqja e shkallës së reduktuar për aktivitete dhe sektorë të tjerë. </w:t>
      </w:r>
      <w:r w:rsidR="00802C7A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264E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Pra këto subjekte mbeten të favorizuara përmes përjashtimit nga TVSH. </w:t>
      </w:r>
    </w:p>
    <w:p w:rsidR="00B9264E" w:rsidRPr="000E44C0" w:rsidRDefault="00B9264E" w:rsidP="00802C7A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0A9" w:rsidRPr="000E44C0" w:rsidRDefault="00802C7A" w:rsidP="00802C7A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4C0">
        <w:rPr>
          <w:rFonts w:ascii="Times New Roman" w:eastAsia="Calibri" w:hAnsi="Times New Roman" w:cs="Times New Roman"/>
          <w:b/>
          <w:sz w:val="24"/>
          <w:szCs w:val="24"/>
        </w:rPr>
        <w:t>Kjo do të thotë se,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k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>to subjekte q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operojn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shitjen dhe tregtimin e mjeteve lundruese ngelen t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favorizuara, nd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>rkoh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q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sektor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ve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ç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>ant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ekonomis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me m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shum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nevoj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>, diferencohen dhe mbahen n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presion fiskal</w:t>
      </w:r>
      <w:r w:rsidR="00B9264E"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të diferencuar dhe jo propocional me nevojën që dikton mbështetja e tyre</w:t>
      </w:r>
      <w:r w:rsidR="005F0061" w:rsidRPr="000E44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7B08" w:rsidRPr="000E44C0" w:rsidRDefault="001C7B08" w:rsidP="001C7B08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7B08" w:rsidRPr="000E44C0" w:rsidRDefault="001C7B08" w:rsidP="001C7B08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4C0">
        <w:rPr>
          <w:rFonts w:ascii="Times New Roman" w:eastAsia="Calibri" w:hAnsi="Times New Roman" w:cs="Times New Roman"/>
          <w:b/>
          <w:sz w:val="24"/>
          <w:szCs w:val="24"/>
          <w:u w:val="single"/>
        </w:rPr>
        <w:t>Trajtimi fiskal i diferencuar, në thelb shkel parime e të drejta themelore kushtetuese për mbrojtjen e të cilave Presidenti i Republikës, ka vendosur kthimin e këtij ligji për rishqyrtim.</w:t>
      </w:r>
    </w:p>
    <w:p w:rsidR="001C7B08" w:rsidRPr="000E44C0" w:rsidRDefault="001C7B08" w:rsidP="001C7B08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659" w:rsidRPr="000E44C0" w:rsidRDefault="00AE2659" w:rsidP="00802C7A">
      <w:p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4C0">
        <w:rPr>
          <w:rFonts w:ascii="Times New Roman" w:eastAsia="Calibri" w:hAnsi="Times New Roman" w:cs="Times New Roman"/>
          <w:b/>
          <w:sz w:val="24"/>
          <w:szCs w:val="24"/>
        </w:rPr>
        <w:t>Përjashtimet nga zbatimi i regjimit ligjor fiskal, n</w:t>
      </w:r>
      <w:r w:rsidR="00081900"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="00081900"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>nyr</w:t>
      </w:r>
      <w:r w:rsidR="00081900"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="00081900"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diferencuar, rrezikojn</w:t>
      </w:r>
      <w:r w:rsidR="00081900" w:rsidRPr="000E44C0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b/>
          <w:sz w:val="24"/>
          <w:szCs w:val="24"/>
        </w:rPr>
        <w:t xml:space="preserve"> qëndrueshmërinë e vetë ligjit bazë nr. 92/2014.</w:t>
      </w:r>
    </w:p>
    <w:p w:rsidR="00AE2659" w:rsidRPr="000E44C0" w:rsidRDefault="00AE2659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F0061" w:rsidRPr="000E44C0" w:rsidRDefault="00B07CAA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4C0">
        <w:rPr>
          <w:rFonts w:ascii="Times New Roman" w:eastAsia="Calibri" w:hAnsi="Times New Roman" w:cs="Times New Roman"/>
          <w:sz w:val="24"/>
          <w:szCs w:val="24"/>
        </w:rPr>
        <w:t>Pik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risht 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për këtë trajtim të diferencuar</w:t>
      </w:r>
      <w:r w:rsidRPr="000E44C0">
        <w:rPr>
          <w:rFonts w:ascii="Times New Roman" w:eastAsia="Calibri" w:hAnsi="Times New Roman" w:cs="Times New Roman"/>
          <w:sz w:val="24"/>
          <w:szCs w:val="24"/>
        </w:rPr>
        <w:t>, edhe deputet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>t kan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patur qasje t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ndryshme n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raport me propozimin e Qeveris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q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>sht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miratuar, qasje kjo q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duhet t`i n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>nshtrohej nj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 analize dhe vler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>simi objektiv ne terma makroekonomik</w:t>
      </w:r>
      <w:r w:rsidR="0051087B" w:rsidRPr="000E44C0">
        <w:rPr>
          <w:rFonts w:ascii="Times New Roman" w:eastAsia="Calibri" w:hAnsi="Times New Roman" w:cs="Times New Roman"/>
          <w:sz w:val="24"/>
          <w:szCs w:val="24"/>
        </w:rPr>
        <w:t>ë</w:t>
      </w:r>
      <w:r w:rsidRPr="000E44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7CAA" w:rsidRPr="00802C7A" w:rsidRDefault="00A70117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Veçan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B9264E">
        <w:rPr>
          <w:rFonts w:ascii="Times New Roman" w:eastAsia="Calibri" w:hAnsi="Times New Roman" w:cs="Times New Roman"/>
          <w:b/>
          <w:sz w:val="24"/>
          <w:szCs w:val="24"/>
        </w:rPr>
        <w:t>risht argumente e deputetit, zotit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 xml:space="preserve"> Erion Braçe, </w:t>
      </w:r>
      <w:r w:rsidR="00B9264E">
        <w:rPr>
          <w:rFonts w:ascii="Times New Roman" w:eastAsia="Calibri" w:hAnsi="Times New Roman" w:cs="Times New Roman"/>
          <w:b/>
          <w:sz w:val="24"/>
          <w:szCs w:val="24"/>
        </w:rPr>
        <w:t xml:space="preserve">lidhur me paketën fiskale 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>kan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 xml:space="preserve"> theksuar nevoj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>n q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 xml:space="preserve"> ligji p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>r tatimin mbi vler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>n e shtuar, nuk mund dhe nuk duhet t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 xml:space="preserve"> ket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>rjashtime apo favore t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>rjetshme n</w:t>
      </w:r>
      <w:r w:rsidR="0051087B" w:rsidRPr="00802C7A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 xml:space="preserve"> sistemin fiskal</w:t>
      </w:r>
      <w:r w:rsidRPr="00802C7A">
        <w:rPr>
          <w:rStyle w:val="FootnoteReference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Pr="00802C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07CAA" w:rsidRPr="00802C7A" w:rsidRDefault="00B07CAA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659" w:rsidRPr="00802C7A" w:rsidRDefault="00AE2659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7A">
        <w:rPr>
          <w:rFonts w:ascii="Times New Roman" w:eastAsia="Calibri" w:hAnsi="Times New Roman" w:cs="Times New Roman"/>
          <w:sz w:val="24"/>
          <w:szCs w:val="24"/>
        </w:rPr>
        <w:t>Ndryshimi i baz</w:t>
      </w:r>
      <w:r w:rsidR="00081900" w:rsidRPr="00802C7A">
        <w:rPr>
          <w:rFonts w:ascii="Times New Roman" w:eastAsia="Calibri" w:hAnsi="Times New Roman" w:cs="Times New Roman"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</w:rPr>
        <w:t>s s</w:t>
      </w:r>
      <w:r w:rsidR="00081900" w:rsidRPr="00802C7A">
        <w:rPr>
          <w:rFonts w:ascii="Times New Roman" w:eastAsia="Calibri" w:hAnsi="Times New Roman" w:cs="Times New Roman"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</w:rPr>
        <w:t xml:space="preserve"> tatimit mbi vler</w:t>
      </w:r>
      <w:r w:rsidR="00081900" w:rsidRPr="00802C7A">
        <w:rPr>
          <w:rFonts w:ascii="Times New Roman" w:eastAsia="Calibri" w:hAnsi="Times New Roman" w:cs="Times New Roman"/>
          <w:sz w:val="24"/>
          <w:szCs w:val="24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</w:rPr>
        <w:t>n e shtuar, kërkon një analizë objektive që të justifikojë ndryshimin në dy aspektet e tij</w:t>
      </w:r>
      <w:r w:rsidR="00B9264E">
        <w:rPr>
          <w:rFonts w:ascii="Times New Roman" w:eastAsia="Calibri" w:hAnsi="Times New Roman" w:cs="Times New Roman"/>
          <w:sz w:val="24"/>
          <w:szCs w:val="24"/>
        </w:rPr>
        <w:t>, dhe konkretisht</w:t>
      </w:r>
      <w:r w:rsidRPr="00802C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0061" w:rsidRPr="00802C7A" w:rsidRDefault="005F0061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659" w:rsidRPr="00802C7A" w:rsidRDefault="00B9264E" w:rsidP="00802C7A">
      <w:pPr>
        <w:pStyle w:val="ListParagraph"/>
        <w:numPr>
          <w:ilvl w:val="0"/>
          <w:numId w:val="36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përfitimit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social;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të</w:t>
      </w:r>
      <w:proofErr w:type="spellEnd"/>
    </w:p>
    <w:p w:rsidR="00AE2659" w:rsidRPr="00802C7A" w:rsidRDefault="002F2047" w:rsidP="00802C7A">
      <w:pPr>
        <w:pStyle w:val="ListParagraph"/>
        <w:numPr>
          <w:ilvl w:val="0"/>
          <w:numId w:val="36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Përfitimit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ekonomik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E2659" w:rsidRPr="00802C7A" w:rsidRDefault="00AE2659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0061" w:rsidRPr="00802C7A" w:rsidRDefault="00AE2659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terma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përfitimit</w:t>
      </w:r>
      <w:proofErr w:type="spellEnd"/>
      <w:r w:rsidRPr="00802C7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social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ndryshimet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konkrete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vet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dukj</w:t>
      </w:r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mund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krijojn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iden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nxisin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rheqjen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investitor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strategjik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siç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arsyetohet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relacion</w:t>
      </w:r>
      <w:proofErr w:type="spellEnd"/>
      <w:r w:rsidR="006C0CA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5F0061" w:rsidRPr="00802C7A" w:rsidRDefault="005F0061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0CA0" w:rsidRPr="00802C7A" w:rsidRDefault="006C0CA0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Nd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rkoh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investimet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strategjike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ishin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gjithsesi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rfshira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rjashtimet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veçanta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import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makinetrit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dhe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pajisjet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koh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kufiri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përpara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këtyre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ndryshimeve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ishte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në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një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vlerë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mbi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milion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lek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Pra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kemi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10-fishim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të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vlerës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së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kufirit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minimal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mbi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të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cilën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vihet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në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zbatim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përjashtimi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përmes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këtij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>ligji</w:t>
      </w:r>
      <w:proofErr w:type="spellEnd"/>
      <w:r w:rsidR="00B92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F204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ritja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tij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kufiri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penalizon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dhe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ndon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mbi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subjekte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tjera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zhvillojn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aktivitetin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fush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E2659" w:rsidRPr="00802C7A" w:rsidRDefault="00AE2659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2659" w:rsidRPr="00802C7A" w:rsidRDefault="006C0CA0" w:rsidP="00802C7A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pasoj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edhe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impakti</w:t>
      </w:r>
      <w:proofErr w:type="spellEnd"/>
      <w:r w:rsidRPr="00802C7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ekonomik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që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duhet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të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evidentojë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përfitimin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konkret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ekonomik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që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mund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sjellë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miratimi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këtij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ligji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nuk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shoq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rohet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nj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analizë</w:t>
      </w:r>
      <w:proofErr w:type="spellEnd"/>
      <w:r w:rsidR="00AE2659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konkrete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analizuar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pritshm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rit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pozitive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dhe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negative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081900"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saj</w:t>
      </w:r>
      <w:proofErr w:type="spellEnd"/>
      <w:r w:rsidRPr="00802C7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E2659" w:rsidRPr="00802C7A" w:rsidRDefault="00AE2659" w:rsidP="00802C7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59" w:rsidRPr="00802C7A" w:rsidRDefault="00AE2659" w:rsidP="00802C7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C7A">
        <w:rPr>
          <w:rFonts w:ascii="Times New Roman" w:eastAsia="Times New Roman" w:hAnsi="Times New Roman" w:cs="Times New Roman"/>
          <w:bCs/>
          <w:sz w:val="24"/>
          <w:szCs w:val="24"/>
        </w:rPr>
        <w:t>Në këtë mënyrë, çdo masë që ka impakt ekonomiko-financiar, qoftë në formën lehtësuese për kategori të caktuara, duhet vlerësuar paraprakisht në raport me gjendjen e diktuar dhe jo vetëm nëse është në interesin e të gjithë shtetasve, por dhe të respektojë raportin e drejtë midis interesit publik dhe garantimit të mirëfunksionimit të buxhetit publik, si dhe të përbëjë mekanizëm real të nxitjes së zhvillimit në një sektor apo nënsektor të caktuar.</w:t>
      </w:r>
    </w:p>
    <w:p w:rsidR="00A10B4A" w:rsidRPr="00802C7A" w:rsidRDefault="00A10B4A" w:rsidP="00802C7A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5021" w:rsidRPr="00802C7A" w:rsidRDefault="00A169BB" w:rsidP="0080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C7A">
        <w:rPr>
          <w:rFonts w:ascii="Times New Roman" w:eastAsia="Times New Roman" w:hAnsi="Times New Roman" w:cs="Times New Roman"/>
          <w:sz w:val="24"/>
          <w:szCs w:val="24"/>
        </w:rPr>
        <w:t>Ndaj në</w:t>
      </w:r>
      <w:r w:rsidRPr="00802C7A">
        <w:rPr>
          <w:rFonts w:ascii="Times New Roman" w:hAnsi="Times New Roman" w:cs="Times New Roman"/>
          <w:sz w:val="24"/>
          <w:szCs w:val="24"/>
        </w:rPr>
        <w:t xml:space="preserve"> bindje të Kushtetutës dhe në zbatim të nenit 85,</w:t>
      </w:r>
      <w:bookmarkStart w:id="0" w:name="_GoBack"/>
      <w:bookmarkEnd w:id="0"/>
      <w:r w:rsidRPr="00802C7A">
        <w:rPr>
          <w:rFonts w:ascii="Times New Roman" w:hAnsi="Times New Roman" w:cs="Times New Roman"/>
          <w:sz w:val="24"/>
          <w:szCs w:val="24"/>
        </w:rPr>
        <w:t xml:space="preserve"> pika 1 të saj, </w:t>
      </w:r>
      <w:r w:rsidRPr="00802C7A">
        <w:rPr>
          <w:rFonts w:ascii="Times New Roman" w:hAnsi="Times New Roman" w:cs="Times New Roman"/>
          <w:b/>
          <w:bCs/>
          <w:sz w:val="24"/>
          <w:szCs w:val="24"/>
        </w:rPr>
        <w:t xml:space="preserve">kam vendosur kthimin për rishqyrtim të ligjit nr. </w:t>
      </w:r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111/2021 “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Për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disa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shtesa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dhe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ndryshime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në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ligjin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nr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. 92/2014 “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Për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tatimin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mbi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vlerën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shtuar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në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Republikën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Shqipërisë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të</w:t>
      </w:r>
      <w:proofErr w:type="spellEnd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81900" w:rsidRPr="00802C7A">
        <w:rPr>
          <w:rFonts w:ascii="Times New Roman" w:hAnsi="Times New Roman" w:cs="Times New Roman"/>
          <w:b/>
          <w:bCs/>
          <w:sz w:val="24"/>
          <w:szCs w:val="24"/>
          <w:lang w:val="en-US"/>
        </w:rPr>
        <w:t>ndryshuar</w:t>
      </w:r>
      <w:proofErr w:type="spellEnd"/>
      <w:r w:rsidR="00A33475" w:rsidRPr="00802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A33475" w:rsidRPr="00802C7A">
        <w:rPr>
          <w:rFonts w:ascii="Times New Roman" w:hAnsi="Times New Roman" w:cs="Times New Roman"/>
          <w:sz w:val="24"/>
          <w:szCs w:val="24"/>
        </w:rPr>
        <w:t xml:space="preserve">pasi </w:t>
      </w:r>
      <w:r w:rsidR="00081900" w:rsidRPr="00802C7A">
        <w:rPr>
          <w:rFonts w:ascii="Times New Roman" w:hAnsi="Times New Roman" w:cs="Times New Roman"/>
          <w:sz w:val="24"/>
          <w:szCs w:val="24"/>
        </w:rPr>
        <w:t>ndryshimet</w:t>
      </w:r>
      <w:r w:rsidR="002F2047">
        <w:rPr>
          <w:rFonts w:ascii="Times New Roman" w:hAnsi="Times New Roman" w:cs="Times New Roman"/>
          <w:sz w:val="24"/>
          <w:szCs w:val="24"/>
        </w:rPr>
        <w:t xml:space="preserve"> </w:t>
      </w:r>
      <w:r w:rsidR="00081900" w:rsidRPr="00802C7A">
        <w:rPr>
          <w:rFonts w:ascii="Times New Roman" w:hAnsi="Times New Roman" w:cs="Times New Roman"/>
          <w:sz w:val="24"/>
          <w:szCs w:val="24"/>
        </w:rPr>
        <w:t xml:space="preserve">e kryera nuk mbështeten në një analizë që shkon në funksion të konsolidimit të të ardhurave në buxhet, duke garantuar njëkohësisht edhe trajtim të barabartë dhe proporcional në përputhje me nevojat e sektorëve të ndryshëm të ekonomisë. </w:t>
      </w:r>
    </w:p>
    <w:p w:rsidR="00B9264E" w:rsidRDefault="00B9264E" w:rsidP="00802C7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44C0" w:rsidRDefault="000E44C0" w:rsidP="00802C7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4E0" w:rsidRPr="00802C7A" w:rsidRDefault="00E5729D" w:rsidP="00802C7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C7A">
        <w:rPr>
          <w:rFonts w:ascii="Times New Roman" w:hAnsi="Times New Roman" w:cs="Times New Roman"/>
          <w:b/>
          <w:bCs/>
          <w:sz w:val="24"/>
          <w:szCs w:val="24"/>
        </w:rPr>
        <w:t xml:space="preserve">PRESIDENTI I REPUBLIKËS </w:t>
      </w:r>
    </w:p>
    <w:p w:rsidR="00B17D7D" w:rsidRDefault="00224424" w:rsidP="00224424">
      <w:pPr>
        <w:tabs>
          <w:tab w:val="left" w:pos="1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2047" w:rsidRDefault="002F2047" w:rsidP="00802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0AB6" w:rsidRPr="00802C7A" w:rsidRDefault="007924E0" w:rsidP="00802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C7A">
        <w:rPr>
          <w:rFonts w:ascii="Times New Roman" w:hAnsi="Times New Roman" w:cs="Times New Roman"/>
          <w:b/>
          <w:bCs/>
          <w:sz w:val="24"/>
          <w:szCs w:val="24"/>
        </w:rPr>
        <w:t xml:space="preserve">Ilir </w:t>
      </w:r>
      <w:r w:rsidR="00B9264E" w:rsidRPr="00802C7A">
        <w:rPr>
          <w:rFonts w:ascii="Times New Roman" w:hAnsi="Times New Roman" w:cs="Times New Roman"/>
          <w:b/>
          <w:bCs/>
          <w:sz w:val="24"/>
          <w:szCs w:val="24"/>
        </w:rPr>
        <w:t>META</w:t>
      </w:r>
    </w:p>
    <w:sectPr w:rsidR="00070AB6" w:rsidRPr="00802C7A" w:rsidSect="00AD48AF">
      <w:footerReference w:type="default" r:id="rId9"/>
      <w:footerReference w:type="first" r:id="rId10"/>
      <w:pgSz w:w="11907" w:h="16839" w:code="9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32" w:rsidRDefault="00F62132" w:rsidP="00EC15BC">
      <w:pPr>
        <w:spacing w:after="0" w:line="240" w:lineRule="auto"/>
      </w:pPr>
      <w:r>
        <w:separator/>
      </w:r>
    </w:p>
  </w:endnote>
  <w:endnote w:type="continuationSeparator" w:id="0">
    <w:p w:rsidR="00F62132" w:rsidRDefault="00F62132" w:rsidP="00EC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204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29D" w:rsidRDefault="00E57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29D" w:rsidRDefault="00E57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174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29D" w:rsidRDefault="00E57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29D" w:rsidRDefault="00E57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32" w:rsidRDefault="00F62132" w:rsidP="00EC15BC">
      <w:pPr>
        <w:spacing w:after="0" w:line="240" w:lineRule="auto"/>
      </w:pPr>
      <w:r>
        <w:separator/>
      </w:r>
    </w:p>
  </w:footnote>
  <w:footnote w:type="continuationSeparator" w:id="0">
    <w:p w:rsidR="00F62132" w:rsidRDefault="00F62132" w:rsidP="00EC15BC">
      <w:pPr>
        <w:spacing w:after="0" w:line="240" w:lineRule="auto"/>
      </w:pPr>
      <w:r>
        <w:continuationSeparator/>
      </w:r>
    </w:p>
  </w:footnote>
  <w:footnote w:id="1">
    <w:p w:rsidR="00A70117" w:rsidRPr="00A70117" w:rsidRDefault="00A70117" w:rsidP="00A70117">
      <w:pPr>
        <w:pStyle w:val="FootnoteText"/>
        <w:jc w:val="both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Për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më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shumë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: Shih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dhe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diskutimet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në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Seancë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Plenare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të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64E">
        <w:rPr>
          <w:rFonts w:ascii="Times New Roman" w:hAnsi="Times New Roman" w:cs="Times New Roman"/>
          <w:b/>
          <w:lang w:val="en-GB"/>
        </w:rPr>
        <w:t>datës</w:t>
      </w:r>
      <w:proofErr w:type="spellEnd"/>
      <w:r w:rsidRPr="00B9264E">
        <w:rPr>
          <w:rFonts w:ascii="Times New Roman" w:hAnsi="Times New Roman" w:cs="Times New Roman"/>
          <w:b/>
          <w:lang w:val="en-GB"/>
        </w:rPr>
        <w:t xml:space="preserve"> 25.11.2021.</w:t>
      </w:r>
    </w:p>
    <w:p w:rsidR="00A70117" w:rsidRPr="00A70117" w:rsidRDefault="00F62132" w:rsidP="00A70117">
      <w:pPr>
        <w:pStyle w:val="FootnoteText"/>
        <w:jc w:val="both"/>
        <w:rPr>
          <w:rFonts w:ascii="Times New Roman" w:hAnsi="Times New Roman" w:cs="Times New Roman"/>
          <w:lang w:val="en-GB"/>
        </w:rPr>
      </w:pPr>
      <w:hyperlink r:id="rId1" w:history="1">
        <w:r w:rsidR="00224424" w:rsidRPr="00A772C2">
          <w:rPr>
            <w:rStyle w:val="Hyperlink"/>
            <w:rFonts w:ascii="Times New Roman" w:hAnsi="Times New Roman" w:cs="Times New Roman"/>
            <w:lang w:val="en-GB"/>
          </w:rPr>
          <w:t>https://www.parlament.al/Procesverbale/Details/12568</w:t>
        </w:r>
      </w:hyperlink>
    </w:p>
    <w:p w:rsidR="00A70117" w:rsidRPr="00A70117" w:rsidRDefault="00A70117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9AE"/>
    <w:multiLevelType w:val="hybridMultilevel"/>
    <w:tmpl w:val="7F4E6328"/>
    <w:lvl w:ilvl="0" w:tplc="20269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97A"/>
    <w:multiLevelType w:val="hybridMultilevel"/>
    <w:tmpl w:val="963AC7F0"/>
    <w:lvl w:ilvl="0" w:tplc="79A05E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72014"/>
    <w:multiLevelType w:val="hybridMultilevel"/>
    <w:tmpl w:val="BBBC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84B"/>
    <w:multiLevelType w:val="multilevel"/>
    <w:tmpl w:val="70AA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CC16EF9"/>
    <w:multiLevelType w:val="hybridMultilevel"/>
    <w:tmpl w:val="505AE91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0B2"/>
    <w:multiLevelType w:val="hybridMultilevel"/>
    <w:tmpl w:val="F5E28D98"/>
    <w:lvl w:ilvl="0" w:tplc="6AE2BDB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2F81"/>
    <w:multiLevelType w:val="hybridMultilevel"/>
    <w:tmpl w:val="308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3F13"/>
    <w:multiLevelType w:val="hybridMultilevel"/>
    <w:tmpl w:val="3636457C"/>
    <w:lvl w:ilvl="0" w:tplc="CD02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257"/>
    <w:multiLevelType w:val="hybridMultilevel"/>
    <w:tmpl w:val="64B0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2FF6"/>
    <w:multiLevelType w:val="hybridMultilevel"/>
    <w:tmpl w:val="358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ABA"/>
    <w:multiLevelType w:val="multilevel"/>
    <w:tmpl w:val="47C60EA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446709"/>
    <w:multiLevelType w:val="hybridMultilevel"/>
    <w:tmpl w:val="06485D50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88C2B98"/>
    <w:multiLevelType w:val="hybridMultilevel"/>
    <w:tmpl w:val="2F66A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8C1"/>
    <w:multiLevelType w:val="hybridMultilevel"/>
    <w:tmpl w:val="5958196E"/>
    <w:lvl w:ilvl="0" w:tplc="14020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1CA9"/>
    <w:multiLevelType w:val="hybridMultilevel"/>
    <w:tmpl w:val="86724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5400"/>
    <w:multiLevelType w:val="hybridMultilevel"/>
    <w:tmpl w:val="3D30B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817AE"/>
    <w:multiLevelType w:val="hybridMultilevel"/>
    <w:tmpl w:val="FD30B8B6"/>
    <w:lvl w:ilvl="0" w:tplc="964C5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4AF"/>
    <w:multiLevelType w:val="hybridMultilevel"/>
    <w:tmpl w:val="6AA6FC1E"/>
    <w:lvl w:ilvl="0" w:tplc="AA52B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181C"/>
    <w:multiLevelType w:val="hybridMultilevel"/>
    <w:tmpl w:val="527E0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02A63"/>
    <w:multiLevelType w:val="hybridMultilevel"/>
    <w:tmpl w:val="9DF0B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D6530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44D65302">
      <w:start w:val="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  <w:i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8C6"/>
    <w:multiLevelType w:val="hybridMultilevel"/>
    <w:tmpl w:val="80D6FFBE"/>
    <w:lvl w:ilvl="0" w:tplc="D9728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48D"/>
    <w:multiLevelType w:val="hybridMultilevel"/>
    <w:tmpl w:val="B2366FA6"/>
    <w:lvl w:ilvl="0" w:tplc="1D42D9A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922C1"/>
    <w:multiLevelType w:val="multilevel"/>
    <w:tmpl w:val="16005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62443"/>
    <w:multiLevelType w:val="hybridMultilevel"/>
    <w:tmpl w:val="9F0C2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0A3F"/>
    <w:multiLevelType w:val="hybridMultilevel"/>
    <w:tmpl w:val="6368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80B53"/>
    <w:multiLevelType w:val="hybridMultilevel"/>
    <w:tmpl w:val="4568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07979"/>
    <w:multiLevelType w:val="hybridMultilevel"/>
    <w:tmpl w:val="7542C0DE"/>
    <w:lvl w:ilvl="0" w:tplc="8E5E2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6EF6"/>
    <w:multiLevelType w:val="hybridMultilevel"/>
    <w:tmpl w:val="1B5E61F8"/>
    <w:lvl w:ilvl="0" w:tplc="B3DEE8F8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 w15:restartNumberingAfterBreak="0">
    <w:nsid w:val="51CC4476"/>
    <w:multiLevelType w:val="hybridMultilevel"/>
    <w:tmpl w:val="E20C6D8A"/>
    <w:lvl w:ilvl="0" w:tplc="18524B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C16"/>
    <w:multiLevelType w:val="hybridMultilevel"/>
    <w:tmpl w:val="5734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4C3B"/>
    <w:multiLevelType w:val="hybridMultilevel"/>
    <w:tmpl w:val="C42A2138"/>
    <w:lvl w:ilvl="0" w:tplc="EF703C90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E5612"/>
    <w:multiLevelType w:val="hybridMultilevel"/>
    <w:tmpl w:val="E0CEC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652B0"/>
    <w:multiLevelType w:val="hybridMultilevel"/>
    <w:tmpl w:val="77C2C6EC"/>
    <w:lvl w:ilvl="0" w:tplc="0316C91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7E84"/>
    <w:multiLevelType w:val="hybridMultilevel"/>
    <w:tmpl w:val="A7B4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5FF6"/>
    <w:multiLevelType w:val="hybridMultilevel"/>
    <w:tmpl w:val="B088DF04"/>
    <w:lvl w:ilvl="0" w:tplc="8D86B656">
      <w:start w:val="4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95E62"/>
    <w:multiLevelType w:val="multilevel"/>
    <w:tmpl w:val="B470B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EE7A72"/>
    <w:multiLevelType w:val="hybridMultilevel"/>
    <w:tmpl w:val="BAEED0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D36A2"/>
    <w:multiLevelType w:val="hybridMultilevel"/>
    <w:tmpl w:val="39C8354C"/>
    <w:lvl w:ilvl="0" w:tplc="16DE8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10332"/>
    <w:multiLevelType w:val="hybridMultilevel"/>
    <w:tmpl w:val="A3F6C3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755EE7"/>
    <w:multiLevelType w:val="hybridMultilevel"/>
    <w:tmpl w:val="33E6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46B12"/>
    <w:multiLevelType w:val="hybridMultilevel"/>
    <w:tmpl w:val="29EA6A5E"/>
    <w:lvl w:ilvl="0" w:tplc="D5B40DDC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EC7D7E"/>
    <w:multiLevelType w:val="hybridMultilevel"/>
    <w:tmpl w:val="23C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22537"/>
    <w:multiLevelType w:val="hybridMultilevel"/>
    <w:tmpl w:val="933CD01A"/>
    <w:lvl w:ilvl="0" w:tplc="6CECF9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76155"/>
    <w:multiLevelType w:val="hybridMultilevel"/>
    <w:tmpl w:val="ABB030F6"/>
    <w:lvl w:ilvl="0" w:tplc="44D653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44D6530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5"/>
  </w:num>
  <w:num w:numId="4">
    <w:abstractNumId w:val="2"/>
  </w:num>
  <w:num w:numId="5">
    <w:abstractNumId w:val="4"/>
  </w:num>
  <w:num w:numId="6">
    <w:abstractNumId w:val="38"/>
  </w:num>
  <w:num w:numId="7">
    <w:abstractNumId w:val="25"/>
  </w:num>
  <w:num w:numId="8">
    <w:abstractNumId w:val="23"/>
  </w:num>
  <w:num w:numId="9">
    <w:abstractNumId w:val="1"/>
  </w:num>
  <w:num w:numId="10">
    <w:abstractNumId w:val="31"/>
  </w:num>
  <w:num w:numId="11">
    <w:abstractNumId w:val="33"/>
  </w:num>
  <w:num w:numId="12">
    <w:abstractNumId w:val="24"/>
  </w:num>
  <w:num w:numId="13">
    <w:abstractNumId w:val="11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8"/>
  </w:num>
  <w:num w:numId="19">
    <w:abstractNumId w:val="41"/>
  </w:num>
  <w:num w:numId="20">
    <w:abstractNumId w:val="9"/>
  </w:num>
  <w:num w:numId="21">
    <w:abstractNumId w:val="39"/>
  </w:num>
  <w:num w:numId="22">
    <w:abstractNumId w:val="12"/>
  </w:num>
  <w:num w:numId="23">
    <w:abstractNumId w:val="21"/>
  </w:num>
  <w:num w:numId="24">
    <w:abstractNumId w:val="42"/>
  </w:num>
  <w:num w:numId="25">
    <w:abstractNumId w:val="7"/>
  </w:num>
  <w:num w:numId="26">
    <w:abstractNumId w:val="3"/>
  </w:num>
  <w:num w:numId="27">
    <w:abstractNumId w:val="28"/>
  </w:num>
  <w:num w:numId="28">
    <w:abstractNumId w:val="35"/>
  </w:num>
  <w:num w:numId="29">
    <w:abstractNumId w:val="37"/>
  </w:num>
  <w:num w:numId="30">
    <w:abstractNumId w:val="13"/>
  </w:num>
  <w:num w:numId="31">
    <w:abstractNumId w:val="26"/>
  </w:num>
  <w:num w:numId="32">
    <w:abstractNumId w:val="17"/>
  </w:num>
  <w:num w:numId="33">
    <w:abstractNumId w:val="20"/>
  </w:num>
  <w:num w:numId="34">
    <w:abstractNumId w:val="10"/>
  </w:num>
  <w:num w:numId="35">
    <w:abstractNumId w:val="22"/>
  </w:num>
  <w:num w:numId="36">
    <w:abstractNumId w:val="43"/>
  </w:num>
  <w:num w:numId="37">
    <w:abstractNumId w:val="34"/>
  </w:num>
  <w:num w:numId="38">
    <w:abstractNumId w:val="5"/>
  </w:num>
  <w:num w:numId="39">
    <w:abstractNumId w:val="40"/>
  </w:num>
  <w:num w:numId="40">
    <w:abstractNumId w:val="30"/>
  </w:num>
  <w:num w:numId="41">
    <w:abstractNumId w:val="27"/>
  </w:num>
  <w:num w:numId="42">
    <w:abstractNumId w:val="16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A"/>
    <w:rsid w:val="00002FE6"/>
    <w:rsid w:val="000101E8"/>
    <w:rsid w:val="00010BF9"/>
    <w:rsid w:val="00024934"/>
    <w:rsid w:val="00052C6C"/>
    <w:rsid w:val="00053717"/>
    <w:rsid w:val="00063005"/>
    <w:rsid w:val="00070AB6"/>
    <w:rsid w:val="00081900"/>
    <w:rsid w:val="00084D45"/>
    <w:rsid w:val="00085F80"/>
    <w:rsid w:val="000C1685"/>
    <w:rsid w:val="000C3557"/>
    <w:rsid w:val="000E44C0"/>
    <w:rsid w:val="000E629E"/>
    <w:rsid w:val="0012393D"/>
    <w:rsid w:val="0013575B"/>
    <w:rsid w:val="00163624"/>
    <w:rsid w:val="00167137"/>
    <w:rsid w:val="0017092F"/>
    <w:rsid w:val="00174260"/>
    <w:rsid w:val="00187E84"/>
    <w:rsid w:val="001A449F"/>
    <w:rsid w:val="001B59FE"/>
    <w:rsid w:val="001C7B08"/>
    <w:rsid w:val="001E349D"/>
    <w:rsid w:val="001E5211"/>
    <w:rsid w:val="001E6404"/>
    <w:rsid w:val="001F17D9"/>
    <w:rsid w:val="00205501"/>
    <w:rsid w:val="002215CB"/>
    <w:rsid w:val="00224424"/>
    <w:rsid w:val="00225FAB"/>
    <w:rsid w:val="002408B8"/>
    <w:rsid w:val="0026735F"/>
    <w:rsid w:val="00284EF8"/>
    <w:rsid w:val="002A03CC"/>
    <w:rsid w:val="002C339C"/>
    <w:rsid w:val="002E5021"/>
    <w:rsid w:val="002F2047"/>
    <w:rsid w:val="002F21FF"/>
    <w:rsid w:val="00311A7E"/>
    <w:rsid w:val="00327343"/>
    <w:rsid w:val="00357579"/>
    <w:rsid w:val="003604EE"/>
    <w:rsid w:val="0037156A"/>
    <w:rsid w:val="00376D50"/>
    <w:rsid w:val="003826E6"/>
    <w:rsid w:val="003922E8"/>
    <w:rsid w:val="003971F5"/>
    <w:rsid w:val="003A1F4D"/>
    <w:rsid w:val="003D080D"/>
    <w:rsid w:val="003E0DF2"/>
    <w:rsid w:val="00432F1C"/>
    <w:rsid w:val="00457D2F"/>
    <w:rsid w:val="004614A8"/>
    <w:rsid w:val="004622E4"/>
    <w:rsid w:val="0047162E"/>
    <w:rsid w:val="00471C1F"/>
    <w:rsid w:val="00497812"/>
    <w:rsid w:val="004A1AC7"/>
    <w:rsid w:val="004A2267"/>
    <w:rsid w:val="004A4090"/>
    <w:rsid w:val="004B0DDC"/>
    <w:rsid w:val="004D0FF2"/>
    <w:rsid w:val="004D6B95"/>
    <w:rsid w:val="004D7603"/>
    <w:rsid w:val="004F15FC"/>
    <w:rsid w:val="004F3EE2"/>
    <w:rsid w:val="00503FC9"/>
    <w:rsid w:val="00507124"/>
    <w:rsid w:val="0051087B"/>
    <w:rsid w:val="00540C80"/>
    <w:rsid w:val="0054674D"/>
    <w:rsid w:val="005667C0"/>
    <w:rsid w:val="0057446A"/>
    <w:rsid w:val="005940DC"/>
    <w:rsid w:val="00596054"/>
    <w:rsid w:val="005B43F6"/>
    <w:rsid w:val="005B638B"/>
    <w:rsid w:val="005C7D87"/>
    <w:rsid w:val="005D2F10"/>
    <w:rsid w:val="005E524C"/>
    <w:rsid w:val="005E75ED"/>
    <w:rsid w:val="005F0061"/>
    <w:rsid w:val="005F026E"/>
    <w:rsid w:val="005F415D"/>
    <w:rsid w:val="0060001B"/>
    <w:rsid w:val="0062050C"/>
    <w:rsid w:val="00625726"/>
    <w:rsid w:val="006537D6"/>
    <w:rsid w:val="006625EA"/>
    <w:rsid w:val="00663866"/>
    <w:rsid w:val="00665620"/>
    <w:rsid w:val="006B012E"/>
    <w:rsid w:val="006B7619"/>
    <w:rsid w:val="006C0CA0"/>
    <w:rsid w:val="006C3A5B"/>
    <w:rsid w:val="006D02E0"/>
    <w:rsid w:val="006D464A"/>
    <w:rsid w:val="006F5B7B"/>
    <w:rsid w:val="007007B1"/>
    <w:rsid w:val="0071725E"/>
    <w:rsid w:val="007237DC"/>
    <w:rsid w:val="00725346"/>
    <w:rsid w:val="00734078"/>
    <w:rsid w:val="00734161"/>
    <w:rsid w:val="00736A46"/>
    <w:rsid w:val="00757B4E"/>
    <w:rsid w:val="00757F25"/>
    <w:rsid w:val="007924E0"/>
    <w:rsid w:val="007C3674"/>
    <w:rsid w:val="007E18D1"/>
    <w:rsid w:val="007E60E0"/>
    <w:rsid w:val="007F5A16"/>
    <w:rsid w:val="007F6DED"/>
    <w:rsid w:val="00802C7A"/>
    <w:rsid w:val="00817D76"/>
    <w:rsid w:val="00841CF5"/>
    <w:rsid w:val="0086508D"/>
    <w:rsid w:val="008B6939"/>
    <w:rsid w:val="008C0BC2"/>
    <w:rsid w:val="008F73B7"/>
    <w:rsid w:val="008F7D9E"/>
    <w:rsid w:val="0090525D"/>
    <w:rsid w:val="00906007"/>
    <w:rsid w:val="00913FEF"/>
    <w:rsid w:val="00970F6A"/>
    <w:rsid w:val="00997333"/>
    <w:rsid w:val="009A3663"/>
    <w:rsid w:val="00A023B1"/>
    <w:rsid w:val="00A10B4A"/>
    <w:rsid w:val="00A169BB"/>
    <w:rsid w:val="00A2399D"/>
    <w:rsid w:val="00A31C1E"/>
    <w:rsid w:val="00A33475"/>
    <w:rsid w:val="00A70117"/>
    <w:rsid w:val="00A7193B"/>
    <w:rsid w:val="00A87E2E"/>
    <w:rsid w:val="00A9759F"/>
    <w:rsid w:val="00A97F4E"/>
    <w:rsid w:val="00AB3DBF"/>
    <w:rsid w:val="00AD48AF"/>
    <w:rsid w:val="00AE2659"/>
    <w:rsid w:val="00B07CAA"/>
    <w:rsid w:val="00B17D7D"/>
    <w:rsid w:val="00B26C71"/>
    <w:rsid w:val="00B323F3"/>
    <w:rsid w:val="00B9264E"/>
    <w:rsid w:val="00BC17B9"/>
    <w:rsid w:val="00BD16A7"/>
    <w:rsid w:val="00BD19EC"/>
    <w:rsid w:val="00BD479B"/>
    <w:rsid w:val="00BE2E1F"/>
    <w:rsid w:val="00BF2739"/>
    <w:rsid w:val="00C03D28"/>
    <w:rsid w:val="00C040A9"/>
    <w:rsid w:val="00C17516"/>
    <w:rsid w:val="00C17DC1"/>
    <w:rsid w:val="00C272BA"/>
    <w:rsid w:val="00C52045"/>
    <w:rsid w:val="00C674F4"/>
    <w:rsid w:val="00C80790"/>
    <w:rsid w:val="00C86A14"/>
    <w:rsid w:val="00CA1BB2"/>
    <w:rsid w:val="00CB6AA9"/>
    <w:rsid w:val="00CD66DC"/>
    <w:rsid w:val="00CD7AD3"/>
    <w:rsid w:val="00CE1155"/>
    <w:rsid w:val="00CE73F9"/>
    <w:rsid w:val="00CF0BBA"/>
    <w:rsid w:val="00CF3803"/>
    <w:rsid w:val="00D50769"/>
    <w:rsid w:val="00D7086C"/>
    <w:rsid w:val="00D952AA"/>
    <w:rsid w:val="00DC14D5"/>
    <w:rsid w:val="00DD0175"/>
    <w:rsid w:val="00DE361D"/>
    <w:rsid w:val="00E01417"/>
    <w:rsid w:val="00E40A63"/>
    <w:rsid w:val="00E4673B"/>
    <w:rsid w:val="00E530C7"/>
    <w:rsid w:val="00E5729D"/>
    <w:rsid w:val="00E71B32"/>
    <w:rsid w:val="00E976AA"/>
    <w:rsid w:val="00EC15BC"/>
    <w:rsid w:val="00ED4CEF"/>
    <w:rsid w:val="00EF4B16"/>
    <w:rsid w:val="00F36837"/>
    <w:rsid w:val="00F40BE3"/>
    <w:rsid w:val="00F55B03"/>
    <w:rsid w:val="00F61DB1"/>
    <w:rsid w:val="00F62132"/>
    <w:rsid w:val="00F65F8E"/>
    <w:rsid w:val="00F74A16"/>
    <w:rsid w:val="00FC717A"/>
    <w:rsid w:val="00FE669B"/>
    <w:rsid w:val="00FF323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389DE-3EC7-43E0-90EF-644F630C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E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02FE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02FE6"/>
  </w:style>
  <w:style w:type="table" w:styleId="TableGrid">
    <w:name w:val="Table Grid"/>
    <w:basedOn w:val="TableNormal"/>
    <w:uiPriority w:val="39"/>
    <w:rsid w:val="0000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2FE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FE6"/>
    <w:pPr>
      <w:spacing w:after="160" w:line="259" w:lineRule="auto"/>
      <w:ind w:left="720"/>
      <w:contextualSpacing/>
    </w:pPr>
  </w:style>
  <w:style w:type="character" w:customStyle="1" w:styleId="jlqj4b">
    <w:name w:val="jlqj4b"/>
    <w:basedOn w:val="DefaultParagraphFont"/>
    <w:rsid w:val="00002FE6"/>
  </w:style>
  <w:style w:type="paragraph" w:customStyle="1" w:styleId="Default">
    <w:name w:val="Default"/>
    <w:rsid w:val="00002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002FE6"/>
    <w:pPr>
      <w:spacing w:after="0" w:line="240" w:lineRule="auto"/>
    </w:pPr>
    <w:rPr>
      <w:rFonts w:eastAsia="Times New Roman"/>
      <w:lang w:val="sq-AL"/>
    </w:rPr>
  </w:style>
  <w:style w:type="character" w:customStyle="1" w:styleId="Hyperlink1">
    <w:name w:val="Hyperlink1"/>
    <w:basedOn w:val="DefaultParagraphFont"/>
    <w:uiPriority w:val="99"/>
    <w:unhideWhenUsed/>
    <w:rsid w:val="00002FE6"/>
    <w:rPr>
      <w:color w:val="0563C1"/>
      <w:u w:val="single"/>
    </w:rPr>
  </w:style>
  <w:style w:type="character" w:customStyle="1" w:styleId="markedcontent">
    <w:name w:val="markedcontent"/>
    <w:basedOn w:val="DefaultParagraphFont"/>
    <w:rsid w:val="00002FE6"/>
  </w:style>
  <w:style w:type="paragraph" w:styleId="BalloonText">
    <w:name w:val="Balloon Text"/>
    <w:basedOn w:val="Normal"/>
    <w:link w:val="BalloonTextChar"/>
    <w:uiPriority w:val="99"/>
    <w:semiHidden/>
    <w:unhideWhenUsed/>
    <w:rsid w:val="000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E6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basedOn w:val="DefaultParagraphFont"/>
    <w:uiPriority w:val="9"/>
    <w:rsid w:val="0000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02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FE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A9"/>
    <w:rPr>
      <w:rFonts w:ascii="Consolas" w:hAnsi="Consolas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C15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15B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C15BC"/>
    <w:rPr>
      <w:vertAlign w:val="superscript"/>
    </w:rPr>
  </w:style>
  <w:style w:type="table" w:styleId="GridTable4">
    <w:name w:val="Grid Table 4"/>
    <w:basedOn w:val="TableNormal"/>
    <w:uiPriority w:val="49"/>
    <w:rsid w:val="00EC15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54"/>
  </w:style>
  <w:style w:type="paragraph" w:styleId="Footer">
    <w:name w:val="footer"/>
    <w:basedOn w:val="Normal"/>
    <w:link w:val="FooterChar"/>
    <w:uiPriority w:val="99"/>
    <w:unhideWhenUsed/>
    <w:rsid w:val="0059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al/presidenti-meta-dekreton-kthimin-per-rishqyrtim-ne-kuvend-te-ligjit-nr-115-2021-arsyet-e-kthimit-per-rishqyrtim-te-ligj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lament.al/Procesverbale/Details/1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210A-566A-4AF0-9D11-D1F1474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2021-12-15T12:05:00Z</cp:lastPrinted>
  <dcterms:created xsi:type="dcterms:W3CDTF">2021-12-15T11:22:00Z</dcterms:created>
  <dcterms:modified xsi:type="dcterms:W3CDTF">2021-12-15T13:23:00Z</dcterms:modified>
</cp:coreProperties>
</file>